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96" w:rsidRPr="00111540" w:rsidRDefault="00DF701F">
      <w:pPr>
        <w:jc w:val="center"/>
        <w:rPr>
          <w:rFonts w:ascii="Verdana" w:hAnsi="Verdana"/>
          <w:sz w:val="22"/>
          <w:szCs w:val="22"/>
        </w:rPr>
      </w:pPr>
      <w:r w:rsidRPr="00111540">
        <w:rPr>
          <w:rFonts w:ascii="Verdana" w:hAnsi="Verdana" w:cs="Arial"/>
          <w:b/>
          <w:sz w:val="22"/>
          <w:szCs w:val="22"/>
        </w:rPr>
        <w:t>Szczegółowa specyfikacja sprzętu</w:t>
      </w:r>
    </w:p>
    <w:p w:rsidR="004F5D96" w:rsidRPr="00111540" w:rsidRDefault="004F5D96">
      <w:pPr>
        <w:rPr>
          <w:rFonts w:ascii="Verdana" w:hAnsi="Verdana" w:cs="Arial"/>
          <w:b/>
          <w:sz w:val="22"/>
          <w:szCs w:val="22"/>
        </w:rPr>
      </w:pPr>
    </w:p>
    <w:tbl>
      <w:tblPr>
        <w:tblW w:w="9287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/>
      </w:tblPr>
      <w:tblGrid>
        <w:gridCol w:w="568"/>
        <w:gridCol w:w="2335"/>
        <w:gridCol w:w="5502"/>
        <w:gridCol w:w="882"/>
      </w:tblGrid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Lp.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 xml:space="preserve">Nazwa 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Główne parametry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Ilość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sz w:val="22"/>
                <w:szCs w:val="22"/>
              </w:rPr>
              <w:t>Podnośnik nożycowy o nośności do 5000 kg 2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montaż w zagłębieniu posadzki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napęd elektrohydrauliczny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system blokad mechanicznych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łatwe opuszczenie w przypadku braku zasilania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zagłębienia pod obrotnice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pomocnicze podnośniki nożycowe podprogowe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Podnośnik dwukolumnowy elektrohydrauliczny o nośności do 3500 kg (3200 kg)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trójstopniowe krótkie ramiona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podwójnie gwintowane nakładki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zawór bezpieczeństwa na wypadek przeładowania oraz uszkodzenia przewodów pneumatycznych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samokontrola prędkości opadania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mechaniczna blokada zabezpieczająca o automatycznym działaniu i pneumatycznym odblokowywaniu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Wiszące odsysacze spalin do obsługi stanowisk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4F5D96">
            <w:pPr>
              <w:rPr>
                <w:rFonts w:ascii="Verdana" w:hAnsi="Verdana"/>
                <w:color w:val="000000"/>
                <w:sz w:val="22"/>
                <w:szCs w:val="22"/>
              </w:rPr>
            </w:pPr>
          </w:p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*Trzy pojedyncze lub jeden podwójny i jeden pojedynczy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3*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Urządzenie do pomiaru geometrii kół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EC67DC" w:rsidRPr="00111540" w:rsidRDefault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bezprzewodowa transmisja danych.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kamery automatycznie śledzące wysokość pojazdu dostosowując się do ruchu podnośnika. - oprogramowanie posiadające dużą bazę pojazdów (łącznie z procedurami OEM producentów) z częstymi aktualizacjami.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- konsola sterująca z monitorem </w:t>
            </w:r>
            <w:proofErr w:type="spellStart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fullHD</w:t>
            </w:r>
            <w:proofErr w:type="spellEnd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 22" klawiaturą i myszką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- 4 uchwyty AC100 z tarczami XD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blokada kierownicy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blokada pedału hamulca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kolorowa drukarka atramentowa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- 2 kliny pod koła</w:t>
            </w:r>
          </w:p>
          <w:p w:rsidR="004F5D96" w:rsidRPr="00111540" w:rsidRDefault="004F5D96" w:rsidP="00EC67DC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Urządzenie do obsługi układów A/C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pełen automat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hermetyczny system wysuwanego zbiornika barwnika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butla 12 kg na środek chłodniczy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butla podgrzewana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kompletna baza danych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zintegrowana półka na narzędzia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czytelny wysokokontrastowy wyświetlacz LCD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drukarka</w:t>
            </w:r>
          </w:p>
          <w:p w:rsidR="004F5D96" w:rsidRPr="00111540" w:rsidRDefault="004F5D96" w:rsidP="00EC67DC">
            <w:pPr>
              <w:pStyle w:val="Tretekstu"/>
              <w:spacing w:after="0" w:line="240" w:lineRule="auto"/>
              <w:rPr>
                <w:rFonts w:ascii="Verdana" w:hAnsi="Verdana"/>
                <w:color w:val="FF330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Tester alternatorów i rozruszników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zasilanie 400V trzy fazy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testowanie alternatorów i rozruszników 12V/24V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max moc alternatora 1400W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tester regulatorów napięcia 12/24V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stanowisko testowania diod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  <w:lang w:val="pt-BR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Wyważarka do kół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blokada koła za pomocą szybkomocującej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nakładki pierścieniowej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uruchamianie z klawiatury lub poprzez obniżenie osłony na koło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utomatyczne wprowadzanie parametrów koła do 26"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program samokalibracji i autodiagnozy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programy ALU i programy motocyklowe statyczne i dynamiczne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prędkość obrotowa poniżej 100 ob./min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możliwość wyważania z uniesioną osłoną koła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przycisk bezpieczeństwa STOP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optymalizacja ułożenia opony względem felgi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- manualne zatrzymywanie koła  w miejscu do </w:t>
            </w:r>
          </w:p>
          <w:p w:rsidR="004F5D96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FF33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     nabicia ciężarka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Sprężarka tłokowa (ew. śrubowa)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ciśnienie robocze 8-10 bar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wydajność min. 1000l/min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zbiornik 500 l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Przyrząd do pomiaru ustawienia reflektorów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22FEE" w:rsidRPr="00111540" w:rsidRDefault="00C22FEE" w:rsidP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- pozycjonowanie lustrem, </w:t>
            </w:r>
          </w:p>
          <w:p w:rsidR="004F5D96" w:rsidRPr="00111540" w:rsidRDefault="00C22FEE" w:rsidP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cyfrowy miernik luksów i kandeli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Zestaw blokad rozrządu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VW AUDI SKODA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RENAULT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FORD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CITROEN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TOYOTA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Klucz pneumatyczny do kół 1350Nm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C22FEE" w:rsidP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- moc:(nm) :1350 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obudowa kompozytowa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obroty prawo/lewo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typ udaru : dwumłotkowy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 xml:space="preserve">- średnica uchwytu nasadki: 1/2" 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zużycie powietrza: (l/min): 368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ciśnienie robocze: (bar): 6,3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4F5D96">
            <w:pPr>
              <w:jc w:val="right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Klucz pneumatyczny udarowy do kół 1”3/4</w:t>
            </w:r>
            <w:r w:rsidRPr="00111540">
              <w:rPr>
                <w:rFonts w:ascii="Verdana" w:eastAsia="Calibri" w:hAnsi="Verdana"/>
                <w:b/>
                <w:i/>
                <w:iCs/>
                <w:color w:val="000000"/>
                <w:sz w:val="22"/>
                <w:szCs w:val="22"/>
              </w:rPr>
              <w:t xml:space="preserve"> ½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1” 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- 3-stopniowa regulacja momentu obrotowego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moment obrotowy - 4500Nm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Średnica mocowania nasadek - 1"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długośc wrzeciona - 22.5cm (9")</w:t>
            </w:r>
          </w:p>
          <w:p w:rsidR="00F105E1" w:rsidRPr="00111540" w:rsidRDefault="00F105E1" w:rsidP="00F105E1">
            <w:pPr>
              <w:spacing w:after="45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¾”</w:t>
            </w:r>
          </w:p>
          <w:p w:rsidR="00F105E1" w:rsidRPr="00111540" w:rsidRDefault="00F105E1" w:rsidP="00F105E1">
            <w:pPr>
              <w:spacing w:after="45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rozmiar śruby: 22mm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max. moment obrotowy: 1550NM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mechanizm udarowy: TWIN HAMMER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długość wrzeciona: 1.5''</w:t>
            </w:r>
          </w:p>
          <w:p w:rsidR="00F105E1" w:rsidRPr="00111540" w:rsidRDefault="00F105E1" w:rsidP="00F105E1">
            <w:pPr>
              <w:spacing w:after="45"/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½”</w:t>
            </w:r>
          </w:p>
          <w:p w:rsidR="004F5D96" w:rsidRPr="00111540" w:rsidRDefault="00F105E1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rozmiar śruby: 16mm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max. moment obrotowy: 950NM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mechanizm udarowy: TWIN HAMMER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długość wrzeciona: 1''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Automatyczna </w:t>
            </w:r>
            <w:proofErr w:type="spellStart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montażownica</w:t>
            </w:r>
            <w:proofErr w:type="spellEnd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 do </w:t>
            </w: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lastRenderedPageBreak/>
              <w:t>kół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lastRenderedPageBreak/>
              <w:t>- z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asilanie 230V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oc silnika 0,75 KW (1.5Hp)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lastRenderedPageBreak/>
              <w:t>- ro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zmiar obręczy (mocowanie zewnętrzne) 10”-21” (zew.)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r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ozmiar obręczy (mocowanie wewnętrzne) 12”-24” (wew.)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ax średnica koła 1040 mm (41’)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ax szerokości opony 355 mm (14’)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ax nacisk zbijaka - 2500Kg</w:t>
            </w:r>
          </w:p>
          <w:p w:rsidR="004F5D96" w:rsidRPr="00111540" w:rsidRDefault="004F5D96" w:rsidP="00DF701F">
            <w:pPr>
              <w:rPr>
                <w:rFonts w:ascii="Verdana" w:hAnsi="Verdana"/>
                <w:color w:val="000000"/>
                <w:sz w:val="22"/>
                <w:szCs w:val="22"/>
                <w:lang w:val="pt-BR"/>
              </w:rPr>
            </w:pPr>
            <w:bookmarkStart w:id="0" w:name="_GoBack"/>
            <w:bookmarkEnd w:id="0"/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lastRenderedPageBreak/>
              <w:t>1</w:t>
            </w:r>
          </w:p>
        </w:tc>
      </w:tr>
    </w:tbl>
    <w:p w:rsidR="004F5D96" w:rsidRPr="00111540" w:rsidRDefault="004F5D96">
      <w:pPr>
        <w:rPr>
          <w:rFonts w:ascii="Verdana" w:hAnsi="Verdana" w:cs="Arial"/>
          <w:b/>
          <w:sz w:val="22"/>
          <w:szCs w:val="22"/>
        </w:rPr>
      </w:pPr>
    </w:p>
    <w:p w:rsidR="004F5D96" w:rsidRPr="00111540" w:rsidRDefault="004F5D96">
      <w:pPr>
        <w:rPr>
          <w:rFonts w:ascii="Verdana" w:hAnsi="Verdana"/>
          <w:sz w:val="22"/>
          <w:szCs w:val="22"/>
        </w:rPr>
      </w:pPr>
    </w:p>
    <w:p w:rsidR="00552CE9" w:rsidRPr="00111540" w:rsidRDefault="00DF701F">
      <w:pPr>
        <w:rPr>
          <w:rFonts w:ascii="Verdana" w:hAnsi="Verdana" w:cs="Arial"/>
          <w:sz w:val="22"/>
          <w:szCs w:val="22"/>
        </w:rPr>
      </w:pPr>
      <w:r w:rsidRPr="00111540">
        <w:rPr>
          <w:rFonts w:ascii="Verdana" w:hAnsi="Verdana" w:cs="Arial"/>
          <w:sz w:val="22"/>
          <w:szCs w:val="22"/>
        </w:rPr>
        <w:t>Osoba do kontaktu z ramienia Użytkow</w:t>
      </w:r>
      <w:r w:rsidR="00552CE9" w:rsidRPr="00111540">
        <w:rPr>
          <w:rFonts w:ascii="Verdana" w:hAnsi="Verdana" w:cs="Arial"/>
          <w:sz w:val="22"/>
          <w:szCs w:val="22"/>
        </w:rPr>
        <w:t xml:space="preserve">nika: Zbigniew Kruszyński, </w:t>
      </w:r>
    </w:p>
    <w:p w:rsidR="004F5D96" w:rsidRPr="00111540" w:rsidRDefault="00552CE9">
      <w:pPr>
        <w:rPr>
          <w:rFonts w:ascii="Verdana" w:hAnsi="Verdana"/>
          <w:sz w:val="22"/>
          <w:szCs w:val="22"/>
        </w:rPr>
      </w:pPr>
      <w:r w:rsidRPr="00111540">
        <w:rPr>
          <w:rFonts w:ascii="Verdana" w:hAnsi="Verdana" w:cs="Arial"/>
          <w:sz w:val="22"/>
          <w:szCs w:val="22"/>
        </w:rPr>
        <w:t>Anna Grzegorzek, Roman Kępiński</w:t>
      </w:r>
      <w:r w:rsidR="00111540">
        <w:rPr>
          <w:rFonts w:ascii="Verdana" w:hAnsi="Verdana" w:cs="Arial"/>
          <w:sz w:val="22"/>
          <w:szCs w:val="22"/>
        </w:rPr>
        <w:t>,</w:t>
      </w:r>
      <w:r w:rsidRPr="00111540">
        <w:rPr>
          <w:rFonts w:ascii="Verdana" w:hAnsi="Verdana" w:cs="Arial"/>
          <w:sz w:val="22"/>
          <w:szCs w:val="22"/>
        </w:rPr>
        <w:t xml:space="preserve"> tel.77 415 52 94</w:t>
      </w:r>
    </w:p>
    <w:p w:rsidR="004F5D96" w:rsidRPr="00111540" w:rsidRDefault="004F5D96">
      <w:pPr>
        <w:rPr>
          <w:rFonts w:ascii="Verdana" w:hAnsi="Verdana"/>
          <w:sz w:val="22"/>
          <w:szCs w:val="22"/>
        </w:rPr>
      </w:pPr>
    </w:p>
    <w:p w:rsidR="004F5D96" w:rsidRPr="00111540" w:rsidRDefault="00DF701F">
      <w:pPr>
        <w:jc w:val="both"/>
        <w:rPr>
          <w:rFonts w:ascii="Verdana" w:hAnsi="Verdana"/>
          <w:sz w:val="22"/>
          <w:szCs w:val="22"/>
        </w:rPr>
      </w:pPr>
      <w:r w:rsidRPr="00111540">
        <w:rPr>
          <w:rFonts w:ascii="Verdana" w:hAnsi="Verdana"/>
          <w:i/>
          <w:color w:val="000000"/>
          <w:sz w:val="22"/>
          <w:szCs w:val="22"/>
        </w:rPr>
        <w:t xml:space="preserve">Jeżeli w niniejszej SIWZ pojawią się ewentualne wskazania znaków towarowych, patentów lub pochodzenia, to określają one minimalny standard jakości materiałów luz urządzeń przyjętych do wyceny. Wykonawca w takim przypadku może zaoferować przedmioty „równoważne”, a obowiązek udowodnienia równoważności, zgodnie z art. 30 ust. 5 ustawy </w:t>
      </w:r>
      <w:proofErr w:type="spellStart"/>
      <w:r w:rsidRPr="00111540">
        <w:rPr>
          <w:rFonts w:ascii="Verdana" w:hAnsi="Verdana"/>
          <w:i/>
          <w:color w:val="000000"/>
          <w:sz w:val="22"/>
          <w:szCs w:val="22"/>
        </w:rPr>
        <w:t>pzp</w:t>
      </w:r>
      <w:proofErr w:type="spellEnd"/>
      <w:r w:rsidRPr="00111540">
        <w:rPr>
          <w:rFonts w:ascii="Verdana" w:hAnsi="Verdana"/>
          <w:i/>
          <w:color w:val="000000"/>
          <w:sz w:val="22"/>
          <w:szCs w:val="22"/>
        </w:rPr>
        <w:t>, należy do Wykonawcy.</w:t>
      </w:r>
      <w:r w:rsidRPr="00111540">
        <w:rPr>
          <w:rFonts w:ascii="Verdana" w:hAnsi="Verdana"/>
          <w:sz w:val="22"/>
          <w:szCs w:val="22"/>
        </w:rPr>
        <w:t xml:space="preserve"> </w:t>
      </w:r>
    </w:p>
    <w:sectPr w:rsidR="004F5D96" w:rsidRPr="00111540" w:rsidSect="00577F36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17CA622C"/>
    <w:multiLevelType w:val="multilevel"/>
    <w:tmpl w:val="1F2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AC7F4C"/>
    <w:multiLevelType w:val="multilevel"/>
    <w:tmpl w:val="94AE4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5D96"/>
    <w:rsid w:val="00037A80"/>
    <w:rsid w:val="00111540"/>
    <w:rsid w:val="004F5D96"/>
    <w:rsid w:val="00552CE9"/>
    <w:rsid w:val="00577F36"/>
    <w:rsid w:val="005C021E"/>
    <w:rsid w:val="00C22FEE"/>
    <w:rsid w:val="00DF701F"/>
    <w:rsid w:val="00EC67DC"/>
    <w:rsid w:val="00F1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80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agwek"/>
    <w:rsid w:val="00577F36"/>
    <w:pPr>
      <w:outlineLvl w:val="0"/>
    </w:pPr>
  </w:style>
  <w:style w:type="paragraph" w:styleId="Nagwek2">
    <w:name w:val="heading 2"/>
    <w:basedOn w:val="Nagwek"/>
    <w:rsid w:val="00577F36"/>
    <w:pPr>
      <w:outlineLvl w:val="1"/>
    </w:pPr>
  </w:style>
  <w:style w:type="paragraph" w:styleId="Nagwek3">
    <w:name w:val="heading 3"/>
    <w:basedOn w:val="Nagwek"/>
    <w:rsid w:val="00577F36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525808"/>
    <w:rPr>
      <w:color w:val="0563C1"/>
      <w:u w:val="single"/>
    </w:rPr>
  </w:style>
  <w:style w:type="character" w:customStyle="1" w:styleId="Mocnowyrniony">
    <w:name w:val="Mocno wyróżniony"/>
    <w:rsid w:val="00577F36"/>
    <w:rPr>
      <w:b/>
      <w:bCs/>
    </w:rPr>
  </w:style>
  <w:style w:type="paragraph" w:styleId="Nagwek">
    <w:name w:val="header"/>
    <w:basedOn w:val="Normalny"/>
    <w:next w:val="Tretekstu"/>
    <w:qFormat/>
    <w:rsid w:val="00577F3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77F36"/>
    <w:pPr>
      <w:spacing w:after="140" w:line="288" w:lineRule="auto"/>
    </w:pPr>
  </w:style>
  <w:style w:type="paragraph" w:styleId="Lista">
    <w:name w:val="List"/>
    <w:basedOn w:val="Tretekstu"/>
    <w:rsid w:val="00577F36"/>
    <w:rPr>
      <w:rFonts w:cs="Mangal"/>
    </w:rPr>
  </w:style>
  <w:style w:type="paragraph" w:styleId="Podpis">
    <w:name w:val="Signature"/>
    <w:basedOn w:val="Normalny"/>
    <w:rsid w:val="00577F3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77F36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577F36"/>
  </w:style>
  <w:style w:type="paragraph" w:styleId="Tytu">
    <w:name w:val="Title"/>
    <w:basedOn w:val="Nagwek"/>
    <w:rsid w:val="00577F36"/>
  </w:style>
  <w:style w:type="paragraph" w:styleId="Podtytu">
    <w:name w:val="Subtitle"/>
    <w:basedOn w:val="Nagwek"/>
    <w:rsid w:val="00577F36"/>
  </w:style>
  <w:style w:type="paragraph" w:customStyle="1" w:styleId="Zawartotabeli">
    <w:name w:val="Zawartość tabeli"/>
    <w:basedOn w:val="Normalny"/>
    <w:qFormat/>
    <w:rsid w:val="00577F36"/>
  </w:style>
  <w:style w:type="paragraph" w:customStyle="1" w:styleId="Nagwektabeli">
    <w:name w:val="Nagłówek tabeli"/>
    <w:basedOn w:val="Zawartotabeli"/>
    <w:qFormat/>
    <w:rsid w:val="00577F36"/>
  </w:style>
  <w:style w:type="paragraph" w:styleId="NormalnyWeb">
    <w:name w:val="Normal (Web)"/>
    <w:basedOn w:val="Normalny"/>
    <w:uiPriority w:val="99"/>
    <w:semiHidden/>
    <w:unhideWhenUsed/>
    <w:rsid w:val="00EC67DC"/>
    <w:pPr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C22FEE"/>
    <w:rPr>
      <w:b/>
      <w:bCs/>
    </w:rPr>
  </w:style>
  <w:style w:type="character" w:customStyle="1" w:styleId="styl11">
    <w:name w:val="styl11"/>
    <w:basedOn w:val="Domylnaczcionkaakapitu"/>
    <w:rsid w:val="00F10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05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22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14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FAFAF"/>
                        <w:left w:val="single" w:sz="6" w:space="7" w:color="AFAFAF"/>
                        <w:bottom w:val="single" w:sz="6" w:space="9" w:color="AFAFAF"/>
                        <w:right w:val="single" w:sz="6" w:space="7" w:color="AFAFAF"/>
                      </w:divBdr>
                    </w:div>
                  </w:divsChild>
                </w:div>
              </w:divsChild>
            </w:div>
          </w:divsChild>
        </w:div>
      </w:divsChild>
    </w:div>
    <w:div w:id="11961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8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6338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87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WIR</cp:lastModifiedBy>
  <cp:revision>2</cp:revision>
  <cp:lastPrinted>2017-05-22T10:05:00Z</cp:lastPrinted>
  <dcterms:created xsi:type="dcterms:W3CDTF">2017-06-19T06:07:00Z</dcterms:created>
  <dcterms:modified xsi:type="dcterms:W3CDTF">2017-06-19T06:07:00Z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